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ADE0" w14:textId="77777777" w:rsidR="004300D8" w:rsidRPr="004C34F7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4C34F7">
        <w:rPr>
          <w:rFonts w:ascii="Arial" w:hAnsi="Arial" w:cs="Arial"/>
          <w:b/>
          <w:caps/>
          <w:sz w:val="22"/>
          <w:szCs w:val="22"/>
        </w:rPr>
        <w:t>[A]</w:t>
      </w:r>
    </w:p>
    <w:p w14:paraId="25714783" w14:textId="77777777" w:rsidR="004300D8" w:rsidRPr="004C34F7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05D13DF7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4742EA3F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D215198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C34F7" w14:paraId="47764849" w14:textId="77777777">
        <w:tc>
          <w:tcPr>
            <w:tcW w:w="2358" w:type="dxa"/>
          </w:tcPr>
          <w:p w14:paraId="324424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7B45FFE1" w14:textId="77777777" w:rsidR="004300D8" w:rsidRPr="004C34F7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34F7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1FBFE194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F3DA211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A7F1B9A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952A9FB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34FBD28" w14:textId="77777777" w:rsidR="004300D8" w:rsidRPr="004C34F7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4F7">
        <w:rPr>
          <w:rFonts w:ascii="Arial" w:hAnsi="Arial" w:cs="Arial"/>
          <w:b/>
          <w:sz w:val="22"/>
          <w:szCs w:val="22"/>
        </w:rPr>
        <w:t>[C]</w:t>
      </w:r>
      <w:r w:rsidRPr="004C34F7">
        <w:rPr>
          <w:rFonts w:ascii="Arial" w:hAnsi="Arial" w:cs="Arial"/>
          <w:b/>
          <w:sz w:val="22"/>
          <w:szCs w:val="22"/>
        </w:rPr>
        <w:br/>
        <w:t>[D]</w:t>
      </w:r>
    </w:p>
    <w:p w14:paraId="75185922" w14:textId="77777777" w:rsidR="004300D8" w:rsidRPr="004C34F7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C34F7" w14:paraId="360A1B60" w14:textId="77777777">
        <w:tc>
          <w:tcPr>
            <w:tcW w:w="5076" w:type="dxa"/>
          </w:tcPr>
          <w:p w14:paraId="422050A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C34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CC2244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F59D7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5FA5CAFF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9757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46CC7ED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A0C71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1E2C0F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1B6854D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0C8B9C9E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40B13" w14:textId="77777777" w:rsidR="004300D8" w:rsidRPr="004C34F7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2D29C227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CC8F71C" w14:textId="77777777" w:rsidR="00333601" w:rsidRPr="004C34F7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 xml:space="preserve">The auditor should </w:t>
      </w:r>
      <w:r w:rsidRPr="004C34F7">
        <w:rPr>
          <w:rFonts w:ascii="Arial" w:hAnsi="Arial" w:cs="Arial"/>
          <w:b/>
          <w:sz w:val="22"/>
          <w:szCs w:val="22"/>
          <w:u w:val="single"/>
        </w:rPr>
        <w:t>not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C34F7">
        <w:rPr>
          <w:rFonts w:ascii="Arial" w:hAnsi="Arial" w:cs="Arial"/>
          <w:b/>
          <w:sz w:val="22"/>
          <w:szCs w:val="22"/>
          <w:u w:val="single"/>
        </w:rPr>
        <w:t>can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0" w:name="OLE_LINK1"/>
      <w:bookmarkStart w:id="1" w:name="OLE_LINK2"/>
      <w:bookmarkStart w:id="2" w:name="OLE_LINK3"/>
    </w:p>
    <w:p w14:paraId="04BCC0B9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583A1AA0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3" w:name="_Hlk55889435"/>
      <w:r w:rsidRPr="004C34F7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0"/>
      <w:bookmarkEnd w:id="1"/>
      <w:bookmarkEnd w:id="2"/>
    </w:p>
    <w:bookmarkEnd w:id="3"/>
    <w:p w14:paraId="481C466A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I.</w:t>
      </w:r>
      <w:r w:rsidRPr="004C34F7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7FC6259F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F9E5226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II.</w:t>
      </w:r>
      <w:r w:rsidRPr="004C34F7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27C272B8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9B7BA82" w14:textId="77777777" w:rsidR="004300D8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br w:type="page"/>
      </w:r>
      <w:r w:rsidRPr="004C34F7">
        <w:rPr>
          <w:rFonts w:ascii="Arial" w:hAnsi="Arial" w:cs="Arial"/>
          <w:b/>
          <w:sz w:val="22"/>
          <w:szCs w:val="22"/>
        </w:rPr>
        <w:lastRenderedPageBreak/>
        <w:t>III.</w:t>
      </w:r>
      <w:r w:rsidRPr="004C34F7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487AF9DF" w14:textId="77777777" w:rsidR="004C34F7" w:rsidRPr="000A55C0" w:rsidRDefault="004C34F7" w:rsidP="00EC0C2A">
      <w:pPr>
        <w:jc w:val="both"/>
        <w:rPr>
          <w:rFonts w:ascii="Arial" w:eastAsia="Calibri" w:hAnsi="Arial" w:cs="Arial"/>
          <w:color w:val="0000FF"/>
          <w:sz w:val="22"/>
          <w:szCs w:val="22"/>
        </w:rPr>
      </w:pP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that are applicable to the federal program.  These Types are determined by the State agency noted by “Y.”  </w:t>
      </w:r>
    </w:p>
    <w:p w14:paraId="30D0C863" w14:textId="77777777" w:rsidR="004C34F7" w:rsidRPr="000A55C0" w:rsidRDefault="004C34F7" w:rsidP="00EC0C2A">
      <w:pPr>
        <w:jc w:val="both"/>
        <w:rPr>
          <w:rFonts w:ascii="Arial" w:eastAsia="Calibri" w:hAnsi="Arial" w:cs="Arial"/>
          <w:color w:val="0000FF"/>
          <w:sz w:val="22"/>
          <w:szCs w:val="22"/>
        </w:rPr>
      </w:pPr>
    </w:p>
    <w:p w14:paraId="54A458C7" w14:textId="77777777" w:rsidR="004C34F7" w:rsidRPr="000A55C0" w:rsidRDefault="004C34F7" w:rsidP="00EC0C2A">
      <w:pPr>
        <w:spacing w:after="160" w:line="259" w:lineRule="auto"/>
        <w:jc w:val="both"/>
        <w:rPr>
          <w:rFonts w:ascii="Arial" w:eastAsia="Calibri" w:hAnsi="Arial" w:cs="Arial"/>
          <w:color w:val="0000FF"/>
          <w:sz w:val="22"/>
          <w:szCs w:val="22"/>
        </w:rPr>
      </w:pPr>
      <w:r w:rsidRPr="000A55C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61629" wp14:editId="6E7442AE">
                <wp:simplePos x="0" y="0"/>
                <wp:positionH relativeFrom="margin">
                  <wp:align>left</wp:align>
                </wp:positionH>
                <wp:positionV relativeFrom="paragraph">
                  <wp:posOffset>548005</wp:posOffset>
                </wp:positionV>
                <wp:extent cx="604837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22BB" w14:textId="77777777" w:rsidR="004C34F7" w:rsidRPr="000A55C0" w:rsidRDefault="004C34F7" w:rsidP="00EC0C2A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55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1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15pt;width:476.2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9/DwIAAB8EAAAOAAAAZHJzL2Uyb0RvYy54bWysk21v2yAQx99P2ndAvF/sZEmbWnGqLl2m&#10;Sd2D1O0DXDCO0TDHgMTuPn0P7KbZ05tpvEDAHX/ufnesrvtWs6N0XqEp+XSScyaNwEqZfcm/ftm+&#10;WnLmA5gKNBpZ8gfp+fX65YtVZws5wwZ1JR0jEeOLzpa8CcEWWeZFI1vwE7TSkLFG10KgrdtnlYOO&#10;1FudzfL8IuvQVdahkN7T6e1g5OukX9dShE917WVguuQUW0izS/Muztl6BcXegW2UGMOAf4iiBWXo&#10;0ZPULQRgB6d+k2qVcOixDhOBbYZ1rYRMOVA20/yXbO4bsDLlQnC8PWHy/09WfDze28+Ohf4N9lTA&#10;lIS3dyi+eWZw04DZyxvnsGskVPTwNCLLOuuL8WpE7QsfRXbdB6yoyHAImIT62rWRCuXJSJ0K8HCC&#10;LvvABB1e5PPl68sFZ4Js88UlVTU9AcXTbet8eCexZXFRckdFTepwvPMhRgPFk0t8zKNW1VZpnTZu&#10;v9tox45ADbBNY1T/yU0b1pX8ajFbDAD+KpGn8SeJVgXqZK3aki9PTlBEbG9NlfosgNLDmkLWZuQY&#10;0Q0QQ7/ryTHy3GH1QEQdDh1LP4wWDbofnHXUrSX33w/gJGf6vaGqXE3n89jeaZMgcubOLbtzCxhB&#10;UiUPnA3LTUhfIgIzeEPVq1UC+xzJGCt1YeI9/pjY5uf75PX8r9ePAAAA//8DAFBLAwQUAAYACAAA&#10;ACEApqkAUt0AAAAHAQAADwAAAGRycy9kb3ducmV2LnhtbEyPwU7DMBBE70j8g7VIXBB1aEhIQ5wK&#10;IYHoDQqCqxtvk4h4HWw3DX/PcoLjakZv3lbr2Q5iQh96RwquFgkIpMaZnloFb68PlwWIEDUZPThC&#10;Bd8YYF2fnlS6NO5ILzhtYysYQqHUCroYx1LK0HRodVi4EYmzvfNWRz59K43XR4bbQS6TJJdW98QL&#10;nR7xvsPmc3uwCorrp+kjbNLn9ybfD6t4cTM9fnmlzs/mu1sQEef4V4ZffVaHmp127kAmiEEBPxKZ&#10;lKcgOF1lywzEjmtZkYKsK/nfv/4BAAD//wMAUEsBAi0AFAAGAAgAAAAhALaDOJL+AAAA4QEAABMA&#10;AAAAAAAAAAAAAAAAAAAAAFtDb250ZW50X1R5cGVzXS54bWxQSwECLQAUAAYACAAAACEAOP0h/9YA&#10;AACUAQAACwAAAAAAAAAAAAAAAAAvAQAAX3JlbHMvLnJlbHNQSwECLQAUAAYACAAAACEAHqRvfw8C&#10;AAAfBAAADgAAAAAAAAAAAAAAAAAuAgAAZHJzL2Uyb0RvYy54bWxQSwECLQAUAAYACAAAACEApqkA&#10;Ut0AAAAHAQAADwAAAAAAAAAAAAAAAABpBAAAZHJzL2Rvd25yZXYueG1sUEsFBgAAAAAEAAQA8wAA&#10;AHMFAAAAAA==&#10;">
                <v:textbox>
                  <w:txbxContent>
                    <w:p w14:paraId="6A4F22BB" w14:textId="77777777" w:rsidR="004C34F7" w:rsidRPr="000A55C0" w:rsidRDefault="004C34F7" w:rsidP="00EC0C2A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0A55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If the Matrix indicates “Y,” the auditor must determine if a particular type of compliance requirement has a direct and material effect on the State program for the auditee.  </w:t>
      </w:r>
    </w:p>
    <w:p w14:paraId="3FEEA9D4" w14:textId="77777777" w:rsidR="004C34F7" w:rsidRPr="004C34F7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1"/>
        <w:gridCol w:w="682"/>
        <w:gridCol w:w="681"/>
        <w:gridCol w:w="682"/>
        <w:gridCol w:w="681"/>
        <w:gridCol w:w="682"/>
        <w:gridCol w:w="681"/>
        <w:gridCol w:w="681"/>
        <w:gridCol w:w="682"/>
        <w:gridCol w:w="681"/>
        <w:gridCol w:w="682"/>
        <w:gridCol w:w="681"/>
        <w:gridCol w:w="682"/>
      </w:tblGrid>
      <w:tr w:rsidR="000A55C0" w:rsidRPr="000A55C0" w14:paraId="39029FF3" w14:textId="77777777" w:rsidTr="00EC0C2A">
        <w:trPr>
          <w:trHeight w:val="350"/>
        </w:trPr>
        <w:tc>
          <w:tcPr>
            <w:tcW w:w="681" w:type="dxa"/>
            <w:vAlign w:val="center"/>
          </w:tcPr>
          <w:p w14:paraId="13A5F543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CC</w:t>
            </w:r>
          </w:p>
        </w:tc>
        <w:tc>
          <w:tcPr>
            <w:tcW w:w="681" w:type="dxa"/>
            <w:vAlign w:val="center"/>
          </w:tcPr>
          <w:p w14:paraId="1331EC81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682" w:type="dxa"/>
            <w:vAlign w:val="center"/>
          </w:tcPr>
          <w:p w14:paraId="374FBB4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681" w:type="dxa"/>
            <w:vAlign w:val="center"/>
          </w:tcPr>
          <w:p w14:paraId="6705C650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682" w:type="dxa"/>
            <w:vAlign w:val="center"/>
          </w:tcPr>
          <w:p w14:paraId="040B9F7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51DD929A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682" w:type="dxa"/>
            <w:vAlign w:val="center"/>
          </w:tcPr>
          <w:p w14:paraId="14673FD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14:paraId="11723AE6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681" w:type="dxa"/>
            <w:vAlign w:val="center"/>
          </w:tcPr>
          <w:p w14:paraId="48CF30A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682" w:type="dxa"/>
            <w:vAlign w:val="center"/>
          </w:tcPr>
          <w:p w14:paraId="33BF27E4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681" w:type="dxa"/>
            <w:vAlign w:val="center"/>
          </w:tcPr>
          <w:p w14:paraId="4EC20FA8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682" w:type="dxa"/>
            <w:vAlign w:val="center"/>
          </w:tcPr>
          <w:p w14:paraId="696470E8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681" w:type="dxa"/>
            <w:vAlign w:val="center"/>
          </w:tcPr>
          <w:p w14:paraId="0557B62D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682" w:type="dxa"/>
            <w:vAlign w:val="center"/>
          </w:tcPr>
          <w:p w14:paraId="11B71DE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  <w:tr w:rsidR="000A55C0" w:rsidRPr="000A55C0" w14:paraId="65CC8A3F" w14:textId="77777777" w:rsidTr="00EC0C2A">
        <w:trPr>
          <w:trHeight w:val="3140"/>
        </w:trPr>
        <w:tc>
          <w:tcPr>
            <w:tcW w:w="681" w:type="dxa"/>
            <w:textDirection w:val="btLr"/>
          </w:tcPr>
          <w:p w14:paraId="34BF0B3D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Cross-cutting requirements</w:t>
            </w:r>
          </w:p>
        </w:tc>
        <w:tc>
          <w:tcPr>
            <w:tcW w:w="681" w:type="dxa"/>
            <w:textDirection w:val="btLr"/>
          </w:tcPr>
          <w:p w14:paraId="201EF476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Activities Allowed or Unallowed</w:t>
            </w:r>
          </w:p>
        </w:tc>
        <w:tc>
          <w:tcPr>
            <w:tcW w:w="682" w:type="dxa"/>
            <w:textDirection w:val="btLr"/>
          </w:tcPr>
          <w:p w14:paraId="5E95096A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Allowable Costs/</w:t>
            </w:r>
          </w:p>
          <w:p w14:paraId="16970A57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Cost Principles</w:t>
            </w:r>
          </w:p>
        </w:tc>
        <w:tc>
          <w:tcPr>
            <w:tcW w:w="681" w:type="dxa"/>
            <w:textDirection w:val="btLr"/>
          </w:tcPr>
          <w:p w14:paraId="3B74757C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Cash Management</w:t>
            </w:r>
          </w:p>
        </w:tc>
        <w:tc>
          <w:tcPr>
            <w:tcW w:w="682" w:type="dxa"/>
            <w:textDirection w:val="btLr"/>
          </w:tcPr>
          <w:p w14:paraId="7DCBF3A1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Conflict of Interest</w:t>
            </w:r>
          </w:p>
        </w:tc>
        <w:tc>
          <w:tcPr>
            <w:tcW w:w="681" w:type="dxa"/>
            <w:textDirection w:val="btLr"/>
          </w:tcPr>
          <w:p w14:paraId="144E62AC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Eligibility</w:t>
            </w:r>
          </w:p>
        </w:tc>
        <w:tc>
          <w:tcPr>
            <w:tcW w:w="682" w:type="dxa"/>
            <w:textDirection w:val="btLr"/>
          </w:tcPr>
          <w:p w14:paraId="1E2C2BA4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Equipment/ Real Property Management</w:t>
            </w:r>
          </w:p>
        </w:tc>
        <w:tc>
          <w:tcPr>
            <w:tcW w:w="681" w:type="dxa"/>
            <w:textDirection w:val="btLr"/>
          </w:tcPr>
          <w:p w14:paraId="1F92ED2D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Matching, Level of Effort, Earmarking</w:t>
            </w:r>
          </w:p>
        </w:tc>
        <w:tc>
          <w:tcPr>
            <w:tcW w:w="681" w:type="dxa"/>
            <w:textDirection w:val="btLr"/>
          </w:tcPr>
          <w:p w14:paraId="62A18C78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Period Of Performance</w:t>
            </w:r>
          </w:p>
        </w:tc>
        <w:tc>
          <w:tcPr>
            <w:tcW w:w="682" w:type="dxa"/>
            <w:textDirection w:val="btLr"/>
          </w:tcPr>
          <w:p w14:paraId="6A96CF7A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Procurement Suspension &amp; Debarment</w:t>
            </w:r>
          </w:p>
        </w:tc>
        <w:tc>
          <w:tcPr>
            <w:tcW w:w="681" w:type="dxa"/>
            <w:textDirection w:val="btLr"/>
          </w:tcPr>
          <w:p w14:paraId="36A26D23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Program Income</w:t>
            </w:r>
          </w:p>
        </w:tc>
        <w:tc>
          <w:tcPr>
            <w:tcW w:w="682" w:type="dxa"/>
            <w:textDirection w:val="btLr"/>
          </w:tcPr>
          <w:p w14:paraId="1041AE2F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Reporting</w:t>
            </w:r>
          </w:p>
        </w:tc>
        <w:tc>
          <w:tcPr>
            <w:tcW w:w="681" w:type="dxa"/>
            <w:textDirection w:val="btLr"/>
          </w:tcPr>
          <w:p w14:paraId="42C40C14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Subrecipient Monitoring</w:t>
            </w:r>
          </w:p>
        </w:tc>
        <w:tc>
          <w:tcPr>
            <w:tcW w:w="682" w:type="dxa"/>
            <w:textDirection w:val="btLr"/>
          </w:tcPr>
          <w:p w14:paraId="76102E48" w14:textId="77777777" w:rsidR="00195205" w:rsidRPr="000A55C0" w:rsidRDefault="00195205" w:rsidP="004C34F7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Special Tests and Provisions</w:t>
            </w:r>
          </w:p>
        </w:tc>
      </w:tr>
      <w:tr w:rsidR="000A55C0" w:rsidRPr="000A55C0" w14:paraId="35B56E58" w14:textId="77777777" w:rsidTr="00EC0C2A">
        <w:trPr>
          <w:trHeight w:val="440"/>
        </w:trPr>
        <w:tc>
          <w:tcPr>
            <w:tcW w:w="681" w:type="dxa"/>
            <w:vAlign w:val="center"/>
          </w:tcPr>
          <w:p w14:paraId="2B1EBA8C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681" w:type="dxa"/>
            <w:vAlign w:val="center"/>
          </w:tcPr>
          <w:p w14:paraId="4BAF3A7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A9448E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FB3CE56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26760F72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21B75F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2753B14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42CC743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BB468F1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57738E3A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11964ABB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02D83BB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FAB13FC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3E0A8C4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</w:tr>
    </w:tbl>
    <w:p w14:paraId="0C56EFED" w14:textId="77777777" w:rsidR="004C34F7" w:rsidRPr="000A55C0" w:rsidRDefault="004C34F7" w:rsidP="004C34F7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7E3F1549" w14:textId="77777777" w:rsidR="004300D8" w:rsidRPr="004C34F7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1.</w:t>
      </w:r>
      <w:r w:rsidRPr="004C34F7">
        <w:rPr>
          <w:rFonts w:ascii="Arial" w:hAnsi="Arial" w:cs="Arial"/>
          <w:sz w:val="22"/>
          <w:szCs w:val="22"/>
        </w:rPr>
        <w:tab/>
        <w:t>Activities Allowed or Unallowed</w:t>
      </w:r>
    </w:p>
    <w:p w14:paraId="55208894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5C2487BB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2.</w:t>
      </w:r>
      <w:r w:rsidRPr="004C34F7">
        <w:rPr>
          <w:rFonts w:ascii="Arial" w:hAnsi="Arial" w:cs="Arial"/>
          <w:sz w:val="22"/>
          <w:szCs w:val="22"/>
        </w:rPr>
        <w:tab/>
        <w:t>Allowable Costs/Cost Principles</w:t>
      </w:r>
    </w:p>
    <w:p w14:paraId="0077F557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50BCD5F" w14:textId="77777777"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3.</w:t>
      </w:r>
      <w:r w:rsidRPr="004C34F7">
        <w:rPr>
          <w:rFonts w:ascii="Arial" w:hAnsi="Arial" w:cs="Arial"/>
          <w:sz w:val="22"/>
          <w:szCs w:val="22"/>
        </w:rPr>
        <w:tab/>
        <w:t>Cash Management</w:t>
      </w:r>
    </w:p>
    <w:p w14:paraId="00D262EC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229B990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4.</w:t>
      </w:r>
      <w:r w:rsidRPr="004C34F7">
        <w:rPr>
          <w:rFonts w:ascii="Arial" w:hAnsi="Arial" w:cs="Arial"/>
          <w:sz w:val="22"/>
          <w:szCs w:val="22"/>
        </w:rPr>
        <w:tab/>
        <w:t>Conflict of Interest</w:t>
      </w:r>
    </w:p>
    <w:p w14:paraId="35C07F86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4E919D6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5.</w:t>
      </w:r>
      <w:r w:rsidRPr="004C34F7">
        <w:rPr>
          <w:rFonts w:ascii="Arial" w:hAnsi="Arial" w:cs="Arial"/>
          <w:sz w:val="22"/>
          <w:szCs w:val="22"/>
        </w:rPr>
        <w:tab/>
        <w:t>Eligibility</w:t>
      </w:r>
    </w:p>
    <w:p w14:paraId="6D90FEA1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E856929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6.</w:t>
      </w:r>
      <w:r w:rsidRPr="004C34F7">
        <w:rPr>
          <w:rFonts w:ascii="Arial" w:hAnsi="Arial" w:cs="Arial"/>
          <w:sz w:val="22"/>
          <w:szCs w:val="22"/>
        </w:rPr>
        <w:tab/>
        <w:t>Equipment and Real Property Management</w:t>
      </w:r>
    </w:p>
    <w:p w14:paraId="0F2041B5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3858150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7.</w:t>
      </w:r>
      <w:r w:rsidRPr="004C34F7">
        <w:rPr>
          <w:rFonts w:ascii="Arial" w:hAnsi="Arial" w:cs="Arial"/>
          <w:sz w:val="22"/>
          <w:szCs w:val="22"/>
        </w:rPr>
        <w:tab/>
        <w:t>Matching, Level of Effort, Earmarking</w:t>
      </w:r>
    </w:p>
    <w:p w14:paraId="13BEBB9F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7308946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lastRenderedPageBreak/>
        <w:t>8.</w:t>
      </w:r>
      <w:r w:rsidRPr="004C34F7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4C34F7">
        <w:rPr>
          <w:rFonts w:ascii="Arial" w:hAnsi="Arial" w:cs="Arial"/>
          <w:color w:val="0000FF"/>
          <w:sz w:val="22"/>
          <w:szCs w:val="22"/>
        </w:rPr>
        <w:t>Performance</w:t>
      </w:r>
    </w:p>
    <w:p w14:paraId="3C0EF2FC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48C7C00" w14:textId="77777777"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9.</w:t>
      </w:r>
      <w:r w:rsidRPr="004C34F7">
        <w:rPr>
          <w:rFonts w:ascii="Arial" w:hAnsi="Arial" w:cs="Arial"/>
          <w:sz w:val="22"/>
          <w:szCs w:val="22"/>
        </w:rPr>
        <w:tab/>
        <w:t>Procurement and Suspension and Debarment</w:t>
      </w:r>
    </w:p>
    <w:p w14:paraId="3C7DC64B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02D1139" w14:textId="77777777" w:rsidR="004300D8" w:rsidRPr="004C34F7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10.</w:t>
      </w:r>
      <w:r w:rsidRPr="004C34F7">
        <w:rPr>
          <w:rFonts w:ascii="Arial" w:hAnsi="Arial" w:cs="Arial"/>
          <w:sz w:val="22"/>
          <w:szCs w:val="22"/>
        </w:rPr>
        <w:tab/>
        <w:t>Program Income</w:t>
      </w:r>
    </w:p>
    <w:p w14:paraId="1BFA99B7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7E7CB6E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color w:val="0000FF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11.</w:t>
      </w:r>
      <w:r w:rsidRPr="004C34F7">
        <w:rPr>
          <w:rFonts w:ascii="Arial" w:hAnsi="Arial" w:cs="Arial"/>
          <w:sz w:val="22"/>
          <w:szCs w:val="22"/>
        </w:rPr>
        <w:tab/>
      </w:r>
      <w:r w:rsidR="00FB6D30" w:rsidRPr="004C34F7">
        <w:rPr>
          <w:rFonts w:ascii="Arial" w:hAnsi="Arial" w:cs="Arial"/>
          <w:color w:val="0000FF"/>
          <w:sz w:val="22"/>
          <w:szCs w:val="22"/>
        </w:rPr>
        <w:t>Reserve</w:t>
      </w:r>
    </w:p>
    <w:p w14:paraId="127445E2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1A99997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12.</w:t>
      </w:r>
      <w:r w:rsidRPr="004C34F7">
        <w:rPr>
          <w:rFonts w:ascii="Arial" w:hAnsi="Arial" w:cs="Arial"/>
          <w:sz w:val="22"/>
          <w:szCs w:val="22"/>
        </w:rPr>
        <w:tab/>
        <w:t>Reporting</w:t>
      </w:r>
    </w:p>
    <w:p w14:paraId="3275E8F5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076D432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13.</w:t>
      </w:r>
      <w:r w:rsidRPr="004C34F7">
        <w:rPr>
          <w:rFonts w:ascii="Arial" w:hAnsi="Arial" w:cs="Arial"/>
          <w:sz w:val="22"/>
          <w:szCs w:val="22"/>
        </w:rPr>
        <w:tab/>
        <w:t>Subrecipient Monitoring</w:t>
      </w:r>
    </w:p>
    <w:p w14:paraId="19B77029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D56A13F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14.</w:t>
      </w:r>
      <w:r w:rsidRPr="004C34F7">
        <w:rPr>
          <w:rFonts w:ascii="Arial" w:hAnsi="Arial" w:cs="Arial"/>
          <w:sz w:val="22"/>
          <w:szCs w:val="22"/>
        </w:rPr>
        <w:tab/>
        <w:t>Special Tests and Provisions</w:t>
      </w:r>
    </w:p>
    <w:p w14:paraId="6F74CB3F" w14:textId="77777777" w:rsidR="004300D8" w:rsidRPr="004C34F7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4C34F7" w:rsidSect="00EC0C2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1F87" w14:textId="77777777" w:rsidR="009503D8" w:rsidRDefault="009503D8">
      <w:r>
        <w:separator/>
      </w:r>
    </w:p>
  </w:endnote>
  <w:endnote w:type="continuationSeparator" w:id="0">
    <w:p w14:paraId="5F234490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44E1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2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B90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1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0BB6" w14:textId="77777777" w:rsidR="009503D8" w:rsidRDefault="009503D8">
      <w:r>
        <w:separator/>
      </w:r>
    </w:p>
  </w:footnote>
  <w:footnote w:type="continuationSeparator" w:id="0">
    <w:p w14:paraId="05ED56C5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8CC0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r w:rsidRPr="004C34F7">
      <w:rPr>
        <w:rFonts w:ascii="Arial" w:hAnsi="Arial" w:cs="Arial"/>
        <w:sz w:val="20"/>
      </w:rPr>
      <w:t>[A]</w:t>
    </w:r>
  </w:p>
  <w:p w14:paraId="77455DEA" w14:textId="77777777"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A3A2" w14:textId="75D60804" w:rsidR="004300D8" w:rsidRPr="00EB4058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EB4058">
      <w:rPr>
        <w:rFonts w:ascii="Arial" w:hAnsi="Arial" w:cs="Arial"/>
        <w:szCs w:val="22"/>
      </w:rPr>
      <w:t xml:space="preserve">APRIL </w:t>
    </w:r>
    <w:r w:rsidR="006F2DE4" w:rsidRPr="00EB4058">
      <w:rPr>
        <w:rFonts w:ascii="Arial" w:hAnsi="Arial" w:cs="Arial"/>
        <w:color w:val="0000FF"/>
        <w:szCs w:val="22"/>
      </w:rPr>
      <w:t>20</w:t>
    </w:r>
    <w:r w:rsidR="009D56BF" w:rsidRPr="00EB4058">
      <w:rPr>
        <w:rFonts w:ascii="Arial" w:hAnsi="Arial" w:cs="Arial"/>
        <w:color w:val="0000FF"/>
        <w:szCs w:val="22"/>
      </w:rPr>
      <w:t>2</w:t>
    </w:r>
    <w:r w:rsidR="00EB4058">
      <w:rPr>
        <w:rFonts w:ascii="Arial" w:hAnsi="Arial" w:cs="Arial"/>
        <w:color w:val="0000FF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26862648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200350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A55C0"/>
    <w:rsid w:val="00125436"/>
    <w:rsid w:val="00195205"/>
    <w:rsid w:val="00234FCF"/>
    <w:rsid w:val="0025510E"/>
    <w:rsid w:val="00333601"/>
    <w:rsid w:val="003F5BA9"/>
    <w:rsid w:val="004300D8"/>
    <w:rsid w:val="00485B11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F7F30"/>
    <w:rsid w:val="009503D8"/>
    <w:rsid w:val="009C3EAB"/>
    <w:rsid w:val="009D56BF"/>
    <w:rsid w:val="00A6259D"/>
    <w:rsid w:val="00C04EC5"/>
    <w:rsid w:val="00C62AB5"/>
    <w:rsid w:val="00D3304A"/>
    <w:rsid w:val="00D93EF9"/>
    <w:rsid w:val="00DC168B"/>
    <w:rsid w:val="00DC2BE7"/>
    <w:rsid w:val="00DE5090"/>
    <w:rsid w:val="00E64253"/>
    <w:rsid w:val="00EB4058"/>
    <w:rsid w:val="00EC0C2A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5015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6</cp:revision>
  <cp:lastPrinted>2009-02-12T14:48:00Z</cp:lastPrinted>
  <dcterms:created xsi:type="dcterms:W3CDTF">2020-11-10T14:06:00Z</dcterms:created>
  <dcterms:modified xsi:type="dcterms:W3CDTF">2023-10-31T14:28:00Z</dcterms:modified>
</cp:coreProperties>
</file>